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1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127"/>
        <w:gridCol w:w="1057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vAlign w:val="center"/>
          </w:tcPr>
          <w:p>
            <w:pPr>
              <w:spacing w:before="120"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过程与活动、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抽样计划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条款</w:t>
            </w:r>
          </w:p>
        </w:tc>
        <w:tc>
          <w:tcPr>
            <w:tcW w:w="10571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受审核部门：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主管领导：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唐浪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陪同人员：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71" w:type="dxa"/>
            <w:vAlign w:val="center"/>
          </w:tcPr>
          <w:p>
            <w:pPr>
              <w:spacing w:before="120"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审核员：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李俐、强兴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审核时间：20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12日</w:t>
            </w:r>
          </w:p>
        </w:tc>
        <w:tc>
          <w:tcPr>
            <w:tcW w:w="851" w:type="dxa"/>
            <w:vMerge w:val="continue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160" w:type="dxa"/>
            <w:vMerge w:val="continue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7" w:type="dxa"/>
            <w:vMerge w:val="continue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71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审核条款：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Q：5.3、6.2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7.1.3、7.1.4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、7.1.5 、8.1 、8.5.1 、8.5.2 、8.5.3、 8.5.4、 8.5.6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E:5.3；6.2；6.1.2；8.1、8.2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O:5.3；6.2；6.1.2；8.1、8.2</w:t>
            </w:r>
          </w:p>
        </w:tc>
        <w:tc>
          <w:tcPr>
            <w:tcW w:w="851" w:type="dxa"/>
            <w:vMerge w:val="continue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部门及人员的职责和权限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5.3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7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部门负责人：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唐浪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询问主要职责：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责生产计划制定，并确保生产的正常运行和生产计划的达成；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2）完成各类与本部门有关的质量计划的实施（设备、人员、质量控制）；</w:t>
            </w:r>
          </w:p>
          <w:p>
            <w:pPr>
              <w:pStyle w:val="2"/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3）在行政部组织下，对本部门管理体系的运行进行控制（废弃物管理、危险化学品管理、能源资源控制等），负责本部门应急事项的管理；</w:t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负责相关作业指导书的编制起草工作；</w:t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配合公司管理目标指标的制订与管理方案的执行；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6）做好设备、设施、标准物质的使用、维护和保养；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7）负责测量设备检定/校准周期检定计划的实施；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8）负责组织测量设备期间核查计划的实施；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9）负责生产现场的物料、区域、产品的标识；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10）协助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对新检验方法的验证与变更确认；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）组织能力验证和内部质量控制计划的实施；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）完成公司领导交办的其他工作。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部门职责清晰、明确。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专业计量室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负责人能基本阐述本部门的主要职责。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目标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7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QEO：6.2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71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查有公司公司级管理目标，并按照部门对目标进行分解，有目标管理管理规定，规定了目标的分解及考核的具体方法。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1)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合格率:98％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2)在用仪器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合格率:100％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)计量设备送检率:100％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危废处置率:100％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)火灾事故为:0</w:t>
            </w:r>
          </w:p>
          <w:p>
            <w:pPr>
              <w:tabs>
                <w:tab w:val="center" w:pos="316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20.1.5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考核情况：经查已完成。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环境因素/危险源辨识与评价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6.1.2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7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公司制订《环境因素识别与评价控制程序》和《危险源识别与风险评价控制程序》，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专业计量室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根据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计量设备检测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过程及工作特点对涉及的环境因素、危险源进行了识别和辨识。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部门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“重要环境因素清单”，重要环境因素为日常办公过程中固体废弃物排放、火灾事故的发生等2项重要环境因素。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控制措施：固废分类存放、办公危废交耗材供应公司，垃圾由环卫部门拉走，包装物分类卖掉，日常培训，日常检查，配备消防器材等措施。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提供“危险源辨识和风险评价一览表”，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部门的危险源有办公活动过程中电脑辐射、被桌柜撞伤、线路老化触电、火灾等。经评价本部门重大危险源：电器使用操作不当引起的触电、火灾事故。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危险源控制执行管理方案、配备消防器材、个体防护、日常检查、日常培训教育等运行控制措施等。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160" w:type="dxa"/>
            <w:vAlign w:val="center"/>
          </w:tcPr>
          <w:p>
            <w:p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监视和测量资源</w:t>
            </w:r>
          </w:p>
        </w:tc>
        <w:tc>
          <w:tcPr>
            <w:tcW w:w="112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Q7.1.5</w:t>
            </w:r>
          </w:p>
        </w:tc>
        <w:tc>
          <w:tcPr>
            <w:tcW w:w="10571" w:type="dxa"/>
            <w:vAlign w:val="center"/>
          </w:tcPr>
          <w:p>
            <w:pPr>
              <w:spacing w:line="24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公司有5台水表检定装置、1把游标卡尺、LS-3B-255水表磨损1台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2160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运行的策划和控制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7" w:type="dxa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8.1 </w:t>
            </w:r>
          </w:p>
        </w:tc>
        <w:tc>
          <w:tcPr>
            <w:tcW w:w="10571" w:type="dxa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产品主要执行标准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1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GB T 778.1-2018饮用冷水水表和热水水表第1部分：计量要求和技术要求；GB T 778.2-2018饮用冷水水表和热水水表第2部分：试验方法；GB T 778.3-2018饮用冷水水表和热水水表第3部分：试验报告格式；GB T 778.3-2018饮用冷水水表和热水水表第4部分：GBT778.1中未包含的非计量要求；GB T 778.3-2018饮用冷水水表和热水水表第5部分：安装要求；GB/T25920-2010饮用冷水水表塑料表壳及承压件技术规范标准；CJ/T133-2007«IC卡冷水水表»的技术要求；GB/TJJG162-2009冷水水表等8个检定规程及规范进行检测和研发服务，编制了相应的过程文件。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工艺流程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原材料（含外包主板加工）—锡焊天线、电容—安装电池及底座—安装上翻盖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—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安装电子装置—功能检测—密封上盖——成品检查—上防拆帽、打铅封、贴合格证—入库。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为实现质量目标配置了相应人员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业务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人员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技术人员均为大专或以上学历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试验室人员持有操作作业证书、上岗前经过岗前培训，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人员均经过专业培训等)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7.1.2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记录条款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管理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编制了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《设备的使用、管理与维护程序》、《设备的校准/检测/检定和计量溯源程序》，规范设备、仪器、标准物质的采购、使用、维护、校准、检测、检定、核查和处置。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办公设备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：电脑、打印机、传真机、电话等。提供维修保养计划及记录，满足要求。</w:t>
            </w:r>
          </w:p>
          <w:p>
            <w:pPr>
              <w:pStyle w:val="22"/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编制了相应的作业文件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管理制度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标准物质、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试验室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管理制度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样品室管理制度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质量监督工作规范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检测用计算机及软件管理规范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实验室安全管理规范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  <w:t>校准/检测/检定结果的质量控制程序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接收准则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依据委托检验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合同、相关标准、用户要求等进行接收，以保证交付的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满足要求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记录：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策划有委托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合同、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过程记录、检验记录等，基本满足产品实现需要。</w:t>
            </w:r>
          </w:p>
          <w:p>
            <w:pPr>
              <w:tabs>
                <w:tab w:val="left" w:pos="6597"/>
              </w:tabs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目前策划基本充分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适合于组织的运行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对于非预期变更，及时进行潜在后果评审，并告知相关人员，目前未发生。经识别企业无外包过程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6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生产和服务提供的控制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2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Q8.5.1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57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公司制定了《生产过程控制程序》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明确了受控条件包括：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a）规定产品/服务/活动的特征以及拟获得结果的文件；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b）获得适宜的监视和测量资源；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c）适当阶段实施监视和测量活动；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d）为过程提供适宜的设施环境；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e）配备备能力人员所要求的资格；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f）特殊过程的确认和定期再确认；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g）采取措施防止人为错误；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h）实施放行、交付和交付后活动。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1、查生产车间各工序(工位)均有有正在生产的工艺文件、参数，均为现行有效的文件，受控标识清楚；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2、查生产车间及作业工位执行的作业指导书主要包括：作业指导书、检验标准、图纸等，</w:t>
            </w:r>
            <w:bookmarkStart w:id="0" w:name="OLE_LINK3"/>
            <w:r>
              <w:rPr>
                <w:rFonts w:hint="eastAsia" w:ascii="宋体" w:hAnsi="宋体" w:eastAsia="宋体" w:cs="宋体"/>
                <w:sz w:val="21"/>
                <w:szCs w:val="21"/>
              </w:rPr>
              <w:t>均放置于工位附近，便于查阅对照。</w:t>
            </w:r>
            <w:bookmarkEnd w:id="0"/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3.视频巡视：现场有工作台、高低温试验箱、直流稳压电源、热风焊台、洛铁等，生产相关设备工作正常，状态良好，无异常现象，符合产品的生产的条件及要求。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4.现场配置了相应的检测设备，主要为万用表、示波器、游标卡尺等。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5.出示了《生产计划单》 明确的产品名称、数量、顾客等内容；</w:t>
            </w:r>
          </w:p>
          <w:p>
            <w:p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6.公司将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焊接过程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为需要确认的过程。查有《特殊过程确认记录表》，2020年4月3日对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焊接过程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的人员、设备、材料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、控制方法、环境等方面进行了过程确认，结论：可以满足过程能力的需求、提供合格的服务。确认人员：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唐浪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现场审核时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抽检定证书、原始记录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标识和可追溯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Q8.5.2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0571" w:type="dxa"/>
          </w:tcPr>
          <w:p>
            <w:pPr>
              <w:pStyle w:val="24"/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制定了《样品管理程序》样品的运输、接收、发放、标识、流转、保护、存储、保留及处理，以充分保护样品的完整性，保护委托双方的利益。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为防止样品在管理上发生混淆，本公司建立了样品标识系统，标示系统由质量负责人制定，对于样品进行唯一性标识，根据样品所处的不同状态，分为“待检”、“在检”、“已检”和“留样”。样品标识存在于样品接收、下发、校准/检测/检定和留样保存等各个环节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标识主要通过划分区域、检验记录等进行标识，状态标识分为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已检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、待检等，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过程中和监视和测量过程中有采取适当的方式对检验状态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贴标识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，标识确保唯一性，当有追溯性要求时，可确保在必要时进行追溯。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检测配件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分类分区放置在指定仓库、产品标识方法得当、未发现不同类型和状态产品发生混淆现象。标识和可追溯性基本符合标准要求。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顾客或外部供方的财产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/产品防护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Q8.5.3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Q8.5.4</w:t>
            </w:r>
          </w:p>
        </w:tc>
        <w:tc>
          <w:tcPr>
            <w:tcW w:w="10571" w:type="dxa"/>
          </w:tcPr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过程中有采取相应的措施进行防护，以确保符合要求。防护包括标识、处置、污染控制、包装、储存、运输以及保护等。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更改的控制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Q8.5.6</w:t>
            </w:r>
          </w:p>
        </w:tc>
        <w:tc>
          <w:tcPr>
            <w:tcW w:w="1057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生产过程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提供的更改进行必要的评审和控制，以确保稳定的符合要求。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组织保留形成文件的信息，包括有关更改评审结果、授权进行更改的人员以及根据评审所采取的必要措施。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经询问，目前无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的变更。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16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产品和服务的放行</w:t>
            </w:r>
          </w:p>
        </w:tc>
        <w:tc>
          <w:tcPr>
            <w:tcW w:w="112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Q8.6</w:t>
            </w:r>
          </w:p>
        </w:tc>
        <w:tc>
          <w:tcPr>
            <w:tcW w:w="10571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被检计量器具经检测校准后编制《校准证书》，校核、批准、打印、签发，证书详见Q8.1。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不合格输出的控制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Q8.7</w:t>
            </w:r>
          </w:p>
        </w:tc>
        <w:tc>
          <w:tcPr>
            <w:tcW w:w="1057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不合格品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控制程序》，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生产过程中如有不合格产品，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各部门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质量、环境、职业健康安全检查人员和材料部门及工程技术人员共同评审，由质检员填写《不合格品评审处置表》，提出处理意见，报主管领导审批后由负责部门执行。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同时根据《改进控制程序》采取纠正措施，以防止再次放生。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160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环境和职业健康安全运行控制</w:t>
            </w:r>
          </w:p>
        </w:tc>
        <w:tc>
          <w:tcPr>
            <w:tcW w:w="1127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O: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8.1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71" w:type="dxa"/>
          </w:tcPr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本部门办公中产生的废弃物，由行政部统一处理。对可回收的固体废弃物，一部分由厂家回收，厂家不回收的公司统一回收再利用或由物资回收公司处理，不可回收的废弃物由公司行政部处理。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生产现场运行时注意碰伤、砸伤、滑倒等人身伤害，进入实验室必须穿戴工作服和劳保用品，遵守环保制度，禁止吸烟，垃圾放入分类垃圾箱。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实验室干净整洁，仪器摆放整齐，有分类垃圾桶。</w:t>
            </w:r>
          </w:p>
          <w:p>
            <w:pPr>
              <w:spacing w:line="24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检测过程使用的废液统一放置交有资质能力的公司处理，提供《实验室废液处理协议》，由外部专业处理公司负责处理。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安全、环保、消防日常检查记录，提供安全、内务管理监督检查记录，每月检查一次。</w:t>
            </w:r>
          </w:p>
          <w:p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环保和职业健康安全防护方面的控制管理基本有效。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160" w:type="dxa"/>
            <w:vAlign w:val="center"/>
          </w:tcPr>
          <w:p>
            <w:p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应急准备和响应</w:t>
            </w:r>
          </w:p>
        </w:tc>
        <w:tc>
          <w:tcPr>
            <w:tcW w:w="112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E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O: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8.2</w:t>
            </w:r>
          </w:p>
        </w:tc>
        <w:tc>
          <w:tcPr>
            <w:tcW w:w="10571" w:type="dxa"/>
            <w:vAlign w:val="center"/>
          </w:tcPr>
          <w:p>
            <w:pPr>
              <w:pStyle w:val="20"/>
              <w:spacing w:line="24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0日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生产部和车间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人员参与了公司组织的消防应急预案演练，通过演练学到了应急和救援的知识，基本符合。</w:t>
            </w:r>
          </w:p>
        </w:tc>
        <w:tc>
          <w:tcPr>
            <w:tcW w:w="851" w:type="dxa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pStyle w:val="8"/>
      </w:pP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49</w:t>
    </w:r>
    <w:r>
      <w:rPr>
        <w:b/>
      </w:rPr>
      <w:fldChar w:fldCharType="end"/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7"/>
      </w:rPr>
    </w:pPr>
    <w:r>
      <w:pict>
        <v:shape id="_x0000_s4097" o:spid="_x0000_s4097" o:spt="75" type="#_x0000_t75" style="position:absolute;left:0pt;margin-left:-0.05pt;margin-top:0.35pt;height:34.1pt;width:32.3pt;mso-wrap-distance-left:9pt;mso-wrap-distance-right:9pt;z-index:-1024;mso-width-relative:page;mso-height-relative:page;" filled="f" o:preferrelative="t" stroked="f" coordsize="21600,21600" wrapcoords="7033 0 4019 1440 -502 5760 -502 10080 0 15360 502 17280 7033 20640 11051 20640 13060 20640 13563 20640 20093 15360 21098 6240 15070 480 12558 0 7033 0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7"/>
        <w:rFonts w:hint="eastAsia"/>
      </w:rPr>
      <w:t>北京国标联合认证有限公司</w:t>
    </w:r>
    <w:r>
      <w:rPr>
        <w:rStyle w:val="17"/>
      </w:rPr>
      <w:tab/>
    </w:r>
    <w:r>
      <w:rPr>
        <w:rStyle w:val="17"/>
      </w:rPr>
      <w:tab/>
    </w:r>
    <w:r>
      <w:rPr>
        <w:rStyle w:val="17"/>
      </w:rPr>
      <w:tab/>
    </w:r>
  </w:p>
  <w:p>
    <w:pPr>
      <w:pStyle w:val="9"/>
      <w:pBdr>
        <w:bottom w:val="none" w:color="auto" w:sz="0" w:space="0"/>
      </w:pBdr>
      <w:spacing w:line="320" w:lineRule="exact"/>
      <w:jc w:val="left"/>
    </w:pPr>
    <w:r>
      <w:pict>
        <v:shape id="文本框 1" o:spid="_x0000_s4098" o:spt="202" type="#_x0000_t202" style="position:absolute;left:0pt;margin-left:554.75pt;margin-top:2.2pt;height:20.2pt;width:172pt;z-index:102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t>ISC-</w:t>
                </w:r>
                <w:r>
                  <w:rPr>
                    <w:sz w:val="18"/>
                    <w:szCs w:val="18"/>
                  </w:rPr>
                  <w:t>B-I-31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17"/>
        <w:w w:val="90"/>
      </w:rPr>
      <w:t>Beijing International Standard united Certification Co.,Ltd.</w:t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E2DB57"/>
    <w:multiLevelType w:val="singleLevel"/>
    <w:tmpl w:val="93E2DB57"/>
    <w:lvl w:ilvl="0" w:tentative="0">
      <w:start w:val="4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5DE"/>
    <w:rsid w:val="000219B9"/>
    <w:rsid w:val="0003373A"/>
    <w:rsid w:val="00033C9F"/>
    <w:rsid w:val="000400E2"/>
    <w:rsid w:val="00044058"/>
    <w:rsid w:val="00046679"/>
    <w:rsid w:val="00062369"/>
    <w:rsid w:val="00063A3B"/>
    <w:rsid w:val="00067C6F"/>
    <w:rsid w:val="000748D2"/>
    <w:rsid w:val="000759E0"/>
    <w:rsid w:val="00081926"/>
    <w:rsid w:val="000A39EB"/>
    <w:rsid w:val="000A4F12"/>
    <w:rsid w:val="000B51BD"/>
    <w:rsid w:val="000D2823"/>
    <w:rsid w:val="000F0D61"/>
    <w:rsid w:val="000F0F7E"/>
    <w:rsid w:val="000F2F92"/>
    <w:rsid w:val="00131AC7"/>
    <w:rsid w:val="00133F48"/>
    <w:rsid w:val="00153815"/>
    <w:rsid w:val="00153BAF"/>
    <w:rsid w:val="00170B0D"/>
    <w:rsid w:val="00176E59"/>
    <w:rsid w:val="0017723E"/>
    <w:rsid w:val="00193594"/>
    <w:rsid w:val="0019698C"/>
    <w:rsid w:val="001A0D03"/>
    <w:rsid w:val="001B25DE"/>
    <w:rsid w:val="001C6C63"/>
    <w:rsid w:val="001D45A7"/>
    <w:rsid w:val="001D52D6"/>
    <w:rsid w:val="001E155C"/>
    <w:rsid w:val="001F1012"/>
    <w:rsid w:val="00202985"/>
    <w:rsid w:val="00204C69"/>
    <w:rsid w:val="0021644A"/>
    <w:rsid w:val="00225BAB"/>
    <w:rsid w:val="00243B9F"/>
    <w:rsid w:val="00250D0F"/>
    <w:rsid w:val="00251F7F"/>
    <w:rsid w:val="00273E21"/>
    <w:rsid w:val="002A4508"/>
    <w:rsid w:val="002B33F0"/>
    <w:rsid w:val="002D3565"/>
    <w:rsid w:val="00303300"/>
    <w:rsid w:val="00351198"/>
    <w:rsid w:val="00353935"/>
    <w:rsid w:val="00354550"/>
    <w:rsid w:val="00354BEE"/>
    <w:rsid w:val="00387673"/>
    <w:rsid w:val="00390345"/>
    <w:rsid w:val="003D4EE6"/>
    <w:rsid w:val="003E08A5"/>
    <w:rsid w:val="003F49F0"/>
    <w:rsid w:val="00400E92"/>
    <w:rsid w:val="00416CB1"/>
    <w:rsid w:val="004241EE"/>
    <w:rsid w:val="0043219E"/>
    <w:rsid w:val="00433001"/>
    <w:rsid w:val="00435C09"/>
    <w:rsid w:val="00440E39"/>
    <w:rsid w:val="004473D0"/>
    <w:rsid w:val="004526F0"/>
    <w:rsid w:val="00466E9E"/>
    <w:rsid w:val="004801A0"/>
    <w:rsid w:val="004815EB"/>
    <w:rsid w:val="004B6927"/>
    <w:rsid w:val="004C6812"/>
    <w:rsid w:val="004F443E"/>
    <w:rsid w:val="00512602"/>
    <w:rsid w:val="00530F23"/>
    <w:rsid w:val="00552571"/>
    <w:rsid w:val="005560EC"/>
    <w:rsid w:val="00560DB6"/>
    <w:rsid w:val="00561940"/>
    <w:rsid w:val="00567A42"/>
    <w:rsid w:val="005752A6"/>
    <w:rsid w:val="005A1ED2"/>
    <w:rsid w:val="005A4889"/>
    <w:rsid w:val="005C20AE"/>
    <w:rsid w:val="005E7E15"/>
    <w:rsid w:val="00600C20"/>
    <w:rsid w:val="00610CCF"/>
    <w:rsid w:val="00614C4D"/>
    <w:rsid w:val="00620D5E"/>
    <w:rsid w:val="006310F1"/>
    <w:rsid w:val="006510E0"/>
    <w:rsid w:val="006743FE"/>
    <w:rsid w:val="00697127"/>
    <w:rsid w:val="006F1DC2"/>
    <w:rsid w:val="00701B19"/>
    <w:rsid w:val="00703F6B"/>
    <w:rsid w:val="00712323"/>
    <w:rsid w:val="007438B3"/>
    <w:rsid w:val="0074390F"/>
    <w:rsid w:val="00760FB8"/>
    <w:rsid w:val="007620A1"/>
    <w:rsid w:val="007702BC"/>
    <w:rsid w:val="007757F3"/>
    <w:rsid w:val="00790B70"/>
    <w:rsid w:val="007B7F25"/>
    <w:rsid w:val="007C5E3B"/>
    <w:rsid w:val="007F0444"/>
    <w:rsid w:val="00801158"/>
    <w:rsid w:val="00802116"/>
    <w:rsid w:val="00812FB7"/>
    <w:rsid w:val="00823D21"/>
    <w:rsid w:val="00824A66"/>
    <w:rsid w:val="00827780"/>
    <w:rsid w:val="008467DB"/>
    <w:rsid w:val="00847CA6"/>
    <w:rsid w:val="00863941"/>
    <w:rsid w:val="0087523E"/>
    <w:rsid w:val="008846D0"/>
    <w:rsid w:val="008973EE"/>
    <w:rsid w:val="008A3324"/>
    <w:rsid w:val="008A5298"/>
    <w:rsid w:val="008C1B99"/>
    <w:rsid w:val="008C6391"/>
    <w:rsid w:val="008E6797"/>
    <w:rsid w:val="008F045B"/>
    <w:rsid w:val="00914C10"/>
    <w:rsid w:val="0091775C"/>
    <w:rsid w:val="00951529"/>
    <w:rsid w:val="00953B0B"/>
    <w:rsid w:val="00981F19"/>
    <w:rsid w:val="00984A26"/>
    <w:rsid w:val="00992B54"/>
    <w:rsid w:val="009A06D2"/>
    <w:rsid w:val="009B4611"/>
    <w:rsid w:val="009B6ACD"/>
    <w:rsid w:val="009F416F"/>
    <w:rsid w:val="009F6343"/>
    <w:rsid w:val="00A011D3"/>
    <w:rsid w:val="00A14097"/>
    <w:rsid w:val="00A25BB5"/>
    <w:rsid w:val="00A36D27"/>
    <w:rsid w:val="00A45D9E"/>
    <w:rsid w:val="00A55FDA"/>
    <w:rsid w:val="00A61C46"/>
    <w:rsid w:val="00A6299B"/>
    <w:rsid w:val="00A85752"/>
    <w:rsid w:val="00A91162"/>
    <w:rsid w:val="00AB3B8F"/>
    <w:rsid w:val="00AC43CE"/>
    <w:rsid w:val="00AC43D6"/>
    <w:rsid w:val="00AC685D"/>
    <w:rsid w:val="00AF4316"/>
    <w:rsid w:val="00B02E01"/>
    <w:rsid w:val="00B06544"/>
    <w:rsid w:val="00B13582"/>
    <w:rsid w:val="00B22E5A"/>
    <w:rsid w:val="00B41FC2"/>
    <w:rsid w:val="00B475ED"/>
    <w:rsid w:val="00B77922"/>
    <w:rsid w:val="00B8487A"/>
    <w:rsid w:val="00B933B7"/>
    <w:rsid w:val="00BB5AE7"/>
    <w:rsid w:val="00BC1671"/>
    <w:rsid w:val="00BC2159"/>
    <w:rsid w:val="00BE63F9"/>
    <w:rsid w:val="00BF047C"/>
    <w:rsid w:val="00BF55C1"/>
    <w:rsid w:val="00C0469F"/>
    <w:rsid w:val="00C0589B"/>
    <w:rsid w:val="00C51F68"/>
    <w:rsid w:val="00C53F8C"/>
    <w:rsid w:val="00C55007"/>
    <w:rsid w:val="00C66196"/>
    <w:rsid w:val="00C711BC"/>
    <w:rsid w:val="00C759BA"/>
    <w:rsid w:val="00C85C5F"/>
    <w:rsid w:val="00C9295A"/>
    <w:rsid w:val="00CB2F54"/>
    <w:rsid w:val="00CC03A8"/>
    <w:rsid w:val="00CC523E"/>
    <w:rsid w:val="00CC7965"/>
    <w:rsid w:val="00CF0432"/>
    <w:rsid w:val="00CF7501"/>
    <w:rsid w:val="00D018F8"/>
    <w:rsid w:val="00D05722"/>
    <w:rsid w:val="00D1502A"/>
    <w:rsid w:val="00D23666"/>
    <w:rsid w:val="00D30776"/>
    <w:rsid w:val="00D37631"/>
    <w:rsid w:val="00D57A07"/>
    <w:rsid w:val="00D61AC0"/>
    <w:rsid w:val="00D7291B"/>
    <w:rsid w:val="00D97C9F"/>
    <w:rsid w:val="00DA547C"/>
    <w:rsid w:val="00DD047E"/>
    <w:rsid w:val="00DD35E1"/>
    <w:rsid w:val="00DD5D57"/>
    <w:rsid w:val="00E02963"/>
    <w:rsid w:val="00E057F8"/>
    <w:rsid w:val="00E27414"/>
    <w:rsid w:val="00E34131"/>
    <w:rsid w:val="00E6224C"/>
    <w:rsid w:val="00E67F6B"/>
    <w:rsid w:val="00E7027E"/>
    <w:rsid w:val="00E83DA5"/>
    <w:rsid w:val="00E9127E"/>
    <w:rsid w:val="00E97B40"/>
    <w:rsid w:val="00EA6FEB"/>
    <w:rsid w:val="00EC08C4"/>
    <w:rsid w:val="00EC4201"/>
    <w:rsid w:val="00EE2282"/>
    <w:rsid w:val="00F00235"/>
    <w:rsid w:val="00F74248"/>
    <w:rsid w:val="00F81AA1"/>
    <w:rsid w:val="00F84329"/>
    <w:rsid w:val="00F9511B"/>
    <w:rsid w:val="00F97461"/>
    <w:rsid w:val="00FA70AD"/>
    <w:rsid w:val="00FC0249"/>
    <w:rsid w:val="00FF3A70"/>
    <w:rsid w:val="00FF5E73"/>
    <w:rsid w:val="00FF762E"/>
    <w:rsid w:val="01A4643E"/>
    <w:rsid w:val="02310203"/>
    <w:rsid w:val="061B3FA5"/>
    <w:rsid w:val="089B26DF"/>
    <w:rsid w:val="0B151983"/>
    <w:rsid w:val="10513DE6"/>
    <w:rsid w:val="131D441E"/>
    <w:rsid w:val="140F62A1"/>
    <w:rsid w:val="163774B4"/>
    <w:rsid w:val="17B03700"/>
    <w:rsid w:val="18006D57"/>
    <w:rsid w:val="1A567EE1"/>
    <w:rsid w:val="1B491817"/>
    <w:rsid w:val="1D0131DC"/>
    <w:rsid w:val="234044DD"/>
    <w:rsid w:val="23641043"/>
    <w:rsid w:val="278A7CDD"/>
    <w:rsid w:val="28365669"/>
    <w:rsid w:val="2931136E"/>
    <w:rsid w:val="2E45138A"/>
    <w:rsid w:val="33D36163"/>
    <w:rsid w:val="376F1DA2"/>
    <w:rsid w:val="37C26F66"/>
    <w:rsid w:val="3EC30777"/>
    <w:rsid w:val="3F7842C8"/>
    <w:rsid w:val="449317F4"/>
    <w:rsid w:val="45F516FE"/>
    <w:rsid w:val="46737D9B"/>
    <w:rsid w:val="504E78C3"/>
    <w:rsid w:val="55DB5DDE"/>
    <w:rsid w:val="5DCF56B6"/>
    <w:rsid w:val="6B64026B"/>
    <w:rsid w:val="6C8025DE"/>
    <w:rsid w:val="74422152"/>
    <w:rsid w:val="75802F53"/>
    <w:rsid w:val="75C93055"/>
    <w:rsid w:val="78030D53"/>
    <w:rsid w:val="79D66BAC"/>
    <w:rsid w:val="7B5823A5"/>
    <w:rsid w:val="7B6E034C"/>
    <w:rsid w:val="7CD55CFE"/>
    <w:rsid w:val="7DF94F64"/>
    <w:rsid w:val="7E2D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locked/>
    <w:uiPriority w:val="0"/>
    <w:pPr>
      <w:keepNext/>
      <w:tabs>
        <w:tab w:val="left" w:pos="3510"/>
        <w:tab w:val="left" w:pos="3585"/>
        <w:tab w:val="center" w:pos="4410"/>
        <w:tab w:val="left" w:pos="4620"/>
        <w:tab w:val="left" w:pos="4830"/>
        <w:tab w:val="left" w:pos="5580"/>
      </w:tabs>
      <w:outlineLvl w:val="1"/>
    </w:pPr>
    <w:rPr>
      <w:b/>
      <w:bCs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4">
    <w:name w:val="Body Text"/>
    <w:basedOn w:val="1"/>
    <w:unhideWhenUsed/>
    <w:qFormat/>
    <w:uiPriority w:val="99"/>
    <w:pPr>
      <w:spacing w:line="420" w:lineRule="exact"/>
    </w:pPr>
    <w:rPr>
      <w:sz w:val="24"/>
    </w:rPr>
  </w:style>
  <w:style w:type="paragraph" w:styleId="5">
    <w:name w:val="Body Text Indent"/>
    <w:basedOn w:val="1"/>
    <w:link w:val="18"/>
    <w:semiHidden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21"/>
    <w:qFormat/>
    <w:uiPriority w:val="99"/>
    <w:rPr>
      <w:rFonts w:ascii="宋体" w:hAnsi="Courier New"/>
    </w:rPr>
  </w:style>
  <w:style w:type="paragraph" w:styleId="7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First Indent 2"/>
    <w:basedOn w:val="5"/>
    <w:link w:val="19"/>
    <w:qFormat/>
    <w:uiPriority w:val="99"/>
    <w:pPr>
      <w:spacing w:after="0"/>
      <w:ind w:left="0" w:leftChars="0" w:firstLine="420" w:firstLineChars="200"/>
      <w:jc w:val="left"/>
    </w:pPr>
    <w:rPr>
      <w:rFonts w:ascii="宋体" w:hAnsi="宋体" w:eastAsia="仿宋_GB2312"/>
      <w:color w:val="000000"/>
      <w:sz w:val="28"/>
    </w:rPr>
  </w:style>
  <w:style w:type="character" w:styleId="13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14">
    <w:name w:val="批注框文本 Char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link w:val="8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眉 Char"/>
    <w:link w:val="9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character" w:customStyle="1" w:styleId="18">
    <w:name w:val="正文文本缩进 Char"/>
    <w:link w:val="5"/>
    <w:semiHidden/>
    <w:qFormat/>
    <w:locked/>
    <w:uiPriority w:val="99"/>
    <w:rPr>
      <w:rFonts w:eastAsia="宋体" w:cs="Times New Roman"/>
      <w:kern w:val="2"/>
      <w:sz w:val="21"/>
      <w:lang w:val="en-US" w:eastAsia="zh-CN" w:bidi="ar-SA"/>
    </w:rPr>
  </w:style>
  <w:style w:type="character" w:customStyle="1" w:styleId="19">
    <w:name w:val="正文首行缩进 2 Char"/>
    <w:link w:val="10"/>
    <w:qFormat/>
    <w:locked/>
    <w:uiPriority w:val="99"/>
    <w:rPr>
      <w:rFonts w:ascii="宋体" w:hAnsi="宋体" w:eastAsia="仿宋_GB2312" w:cs="Times New Roman"/>
      <w:color w:val="000000"/>
      <w:kern w:val="2"/>
      <w:sz w:val="28"/>
      <w:lang w:val="en-US" w:eastAsia="zh-CN" w:bidi="ar-SA"/>
    </w:rPr>
  </w:style>
  <w:style w:type="paragraph" w:customStyle="1" w:styleId="20">
    <w:name w:val="表格文字"/>
    <w:basedOn w:val="1"/>
    <w:qFormat/>
    <w:uiPriority w:val="99"/>
    <w:pPr>
      <w:spacing w:before="25" w:after="25"/>
    </w:pPr>
    <w:rPr>
      <w:bCs/>
      <w:spacing w:val="10"/>
    </w:rPr>
  </w:style>
  <w:style w:type="character" w:customStyle="1" w:styleId="21">
    <w:name w:val="纯文本 Char"/>
    <w:link w:val="6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paragraph" w:customStyle="1" w:styleId="23">
    <w:name w:val="东方正文"/>
    <w:basedOn w:val="1"/>
    <w:qFormat/>
    <w:uiPriority w:val="99"/>
    <w:pPr>
      <w:spacing w:line="400" w:lineRule="exact"/>
      <w:ind w:left="284" w:right="284"/>
    </w:pPr>
    <w:rPr>
      <w:sz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宋体" w:hAnsi="宋体" w:eastAsia="微软雅黑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4207</Words>
  <Characters>23982</Characters>
  <Lines>199</Lines>
  <Paragraphs>56</Paragraphs>
  <TotalTime>5</TotalTime>
  <ScaleCrop>false</ScaleCrop>
  <LinksUpToDate>false</LinksUpToDate>
  <CharactersWithSpaces>28133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2020-08-09T05:49:18Z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